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F2" w:rsidRPr="007C72C2" w:rsidRDefault="000E344C">
      <w:pPr>
        <w:rPr>
          <w:b/>
          <w:color w:val="7030A0"/>
          <w:sz w:val="28"/>
          <w:u w:val="single"/>
        </w:rPr>
      </w:pPr>
      <w:r>
        <w:rPr>
          <w:b/>
          <w:color w:val="7030A0"/>
          <w:sz w:val="28"/>
          <w:u w:val="single"/>
        </w:rPr>
        <w:t>2015 – 2016</w:t>
      </w:r>
      <w:r w:rsidR="00926888" w:rsidRPr="007C72C2">
        <w:rPr>
          <w:b/>
          <w:color w:val="7030A0"/>
          <w:sz w:val="28"/>
          <w:u w:val="single"/>
        </w:rPr>
        <w:t xml:space="preserve"> Pupil Premium Expenditure</w:t>
      </w:r>
      <w:r w:rsidR="007C72C2" w:rsidRPr="007C72C2">
        <w:rPr>
          <w:b/>
          <w:color w:val="7030A0"/>
          <w:sz w:val="28"/>
          <w:u w:val="single"/>
        </w:rPr>
        <w:t xml:space="preserve"> - St John</w:t>
      </w:r>
      <w:r>
        <w:rPr>
          <w:b/>
          <w:color w:val="7030A0"/>
          <w:sz w:val="28"/>
          <w:u w:val="single"/>
        </w:rPr>
        <w:t>’</w:t>
      </w:r>
      <w:r w:rsidR="007C72C2" w:rsidRPr="007C72C2">
        <w:rPr>
          <w:b/>
          <w:color w:val="7030A0"/>
          <w:sz w:val="28"/>
          <w:u w:val="single"/>
        </w:rPr>
        <w:t>s Green Primary School</w:t>
      </w:r>
    </w:p>
    <w:p w:rsidR="00926888" w:rsidRDefault="00926888">
      <w:pPr>
        <w:rPr>
          <w:u w:val="single"/>
        </w:rPr>
      </w:pPr>
    </w:p>
    <w:p w:rsidR="00926888" w:rsidRPr="007C72C2" w:rsidRDefault="00926888">
      <w:pPr>
        <w:rPr>
          <w:b/>
          <w:sz w:val="28"/>
          <w:u w:val="single"/>
        </w:rPr>
      </w:pPr>
      <w:r w:rsidRPr="007C72C2">
        <w:rPr>
          <w:b/>
          <w:sz w:val="28"/>
          <w:u w:val="single"/>
        </w:rPr>
        <w:t>Overview of the School</w:t>
      </w:r>
    </w:p>
    <w:p w:rsidR="00926888" w:rsidRDefault="00926888"/>
    <w:tbl>
      <w:tblPr>
        <w:tblStyle w:val="LightList-Accent4"/>
        <w:tblW w:w="9272" w:type="dxa"/>
        <w:tblLook w:val="04A0" w:firstRow="1" w:lastRow="0" w:firstColumn="1" w:lastColumn="0" w:noHBand="0" w:noVBand="1"/>
      </w:tblPr>
      <w:tblGrid>
        <w:gridCol w:w="5655"/>
        <w:gridCol w:w="3617"/>
      </w:tblGrid>
      <w:tr w:rsidR="00926888" w:rsidTr="00926888">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272" w:type="dxa"/>
            <w:gridSpan w:val="2"/>
            <w:vAlign w:val="center"/>
          </w:tcPr>
          <w:p w:rsidR="00926888" w:rsidRPr="00926888" w:rsidRDefault="00926888" w:rsidP="004B6C67">
            <w:pPr>
              <w:rPr>
                <w:sz w:val="28"/>
              </w:rPr>
            </w:pPr>
            <w:r w:rsidRPr="00926888">
              <w:rPr>
                <w:sz w:val="28"/>
              </w:rPr>
              <w:t xml:space="preserve">Number of pupils and Pupil Premium Grant (PPG) </w:t>
            </w:r>
            <w:r w:rsidR="004B6C67">
              <w:rPr>
                <w:sz w:val="28"/>
              </w:rPr>
              <w:t xml:space="preserve">indication to </w:t>
            </w:r>
            <w:r w:rsidRPr="00926888">
              <w:rPr>
                <w:sz w:val="28"/>
              </w:rPr>
              <w:t>receive</w:t>
            </w:r>
          </w:p>
        </w:tc>
      </w:tr>
      <w:tr w:rsidR="00926888" w:rsidTr="0092688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5655" w:type="dxa"/>
            <w:tcBorders>
              <w:right w:val="single" w:sz="8" w:space="0" w:color="8064A2" w:themeColor="accent4"/>
            </w:tcBorders>
            <w:vAlign w:val="center"/>
          </w:tcPr>
          <w:p w:rsidR="00926888" w:rsidRPr="00926888" w:rsidRDefault="00926888" w:rsidP="00926888">
            <w:pPr>
              <w:rPr>
                <w:sz w:val="28"/>
              </w:rPr>
            </w:pPr>
            <w:r w:rsidRPr="00926888">
              <w:rPr>
                <w:sz w:val="28"/>
              </w:rPr>
              <w:t>Total number of pupils on roll</w:t>
            </w:r>
          </w:p>
        </w:tc>
        <w:tc>
          <w:tcPr>
            <w:tcW w:w="3617" w:type="dxa"/>
            <w:tcBorders>
              <w:left w:val="single" w:sz="8" w:space="0" w:color="8064A2" w:themeColor="accent4"/>
            </w:tcBorders>
            <w:vAlign w:val="center"/>
          </w:tcPr>
          <w:p w:rsidR="00926888" w:rsidRPr="007C72C2" w:rsidRDefault="00D4451D" w:rsidP="00926888">
            <w:pPr>
              <w:cnfStyle w:val="000000100000" w:firstRow="0" w:lastRow="0" w:firstColumn="0" w:lastColumn="0" w:oddVBand="0" w:evenVBand="0" w:oddHBand="1" w:evenHBand="0" w:firstRowFirstColumn="0" w:firstRowLastColumn="0" w:lastRowFirstColumn="0" w:lastRowLastColumn="0"/>
              <w:rPr>
                <w:sz w:val="32"/>
              </w:rPr>
            </w:pPr>
            <w:r>
              <w:rPr>
                <w:sz w:val="32"/>
              </w:rPr>
              <w:t>390</w:t>
            </w:r>
          </w:p>
        </w:tc>
      </w:tr>
      <w:tr w:rsidR="00926888" w:rsidTr="00926888">
        <w:trPr>
          <w:trHeight w:val="462"/>
        </w:trPr>
        <w:tc>
          <w:tcPr>
            <w:cnfStyle w:val="001000000000" w:firstRow="0" w:lastRow="0" w:firstColumn="1" w:lastColumn="0" w:oddVBand="0" w:evenVBand="0" w:oddHBand="0" w:evenHBand="0" w:firstRowFirstColumn="0" w:firstRowLastColumn="0" w:lastRowFirstColumn="0" w:lastRowLastColumn="0"/>
            <w:tcW w:w="5655" w:type="dxa"/>
            <w:tcBorders>
              <w:right w:val="single" w:sz="8" w:space="0" w:color="8064A2" w:themeColor="accent4"/>
            </w:tcBorders>
            <w:vAlign w:val="center"/>
          </w:tcPr>
          <w:p w:rsidR="00926888" w:rsidRPr="00926888" w:rsidRDefault="00926888" w:rsidP="00926888">
            <w:pPr>
              <w:rPr>
                <w:sz w:val="28"/>
              </w:rPr>
            </w:pPr>
            <w:r w:rsidRPr="00926888">
              <w:rPr>
                <w:sz w:val="28"/>
              </w:rPr>
              <w:t>Total number of pupils eligible for PPG</w:t>
            </w:r>
          </w:p>
        </w:tc>
        <w:tc>
          <w:tcPr>
            <w:tcW w:w="3617" w:type="dxa"/>
            <w:tcBorders>
              <w:top w:val="single" w:sz="8" w:space="0" w:color="8064A2" w:themeColor="accent4"/>
              <w:left w:val="single" w:sz="8" w:space="0" w:color="8064A2" w:themeColor="accent4"/>
              <w:bottom w:val="single" w:sz="8" w:space="0" w:color="8064A2" w:themeColor="accent4"/>
            </w:tcBorders>
            <w:vAlign w:val="center"/>
          </w:tcPr>
          <w:p w:rsidR="00926888" w:rsidRPr="007C72C2" w:rsidRDefault="004B6C67" w:rsidP="00926888">
            <w:pPr>
              <w:cnfStyle w:val="000000000000" w:firstRow="0" w:lastRow="0" w:firstColumn="0" w:lastColumn="0" w:oddVBand="0" w:evenVBand="0" w:oddHBand="0" w:evenHBand="0" w:firstRowFirstColumn="0" w:firstRowLastColumn="0" w:lastRowFirstColumn="0" w:lastRowLastColumn="0"/>
              <w:rPr>
                <w:sz w:val="32"/>
              </w:rPr>
            </w:pPr>
            <w:r>
              <w:rPr>
                <w:sz w:val="32"/>
              </w:rPr>
              <w:t>81</w:t>
            </w:r>
          </w:p>
        </w:tc>
      </w:tr>
      <w:tr w:rsidR="00926888" w:rsidTr="0092688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5655" w:type="dxa"/>
            <w:tcBorders>
              <w:right w:val="single" w:sz="8" w:space="0" w:color="8064A2" w:themeColor="accent4"/>
            </w:tcBorders>
            <w:vAlign w:val="center"/>
          </w:tcPr>
          <w:p w:rsidR="00926888" w:rsidRPr="00926888" w:rsidRDefault="004B6C67" w:rsidP="00926888">
            <w:pPr>
              <w:rPr>
                <w:sz w:val="28"/>
              </w:rPr>
            </w:pPr>
            <w:r>
              <w:rPr>
                <w:sz w:val="28"/>
              </w:rPr>
              <w:t xml:space="preserve">Total indication from ECC on PPG </w:t>
            </w:r>
          </w:p>
        </w:tc>
        <w:tc>
          <w:tcPr>
            <w:tcW w:w="3617" w:type="dxa"/>
            <w:tcBorders>
              <w:left w:val="single" w:sz="8" w:space="0" w:color="8064A2" w:themeColor="accent4"/>
            </w:tcBorders>
            <w:vAlign w:val="center"/>
          </w:tcPr>
          <w:p w:rsidR="00926888" w:rsidRPr="007C72C2" w:rsidRDefault="004B6C67" w:rsidP="00A95DBC">
            <w:pPr>
              <w:cnfStyle w:val="000000100000" w:firstRow="0" w:lastRow="0" w:firstColumn="0" w:lastColumn="0" w:oddVBand="0" w:evenVBand="0" w:oddHBand="1" w:evenHBand="0" w:firstRowFirstColumn="0" w:firstRowLastColumn="0" w:lastRowFirstColumn="0" w:lastRowLastColumn="0"/>
              <w:rPr>
                <w:sz w:val="32"/>
              </w:rPr>
            </w:pPr>
            <w:r>
              <w:rPr>
                <w:sz w:val="32"/>
              </w:rPr>
              <w:t>£117,360</w:t>
            </w:r>
          </w:p>
        </w:tc>
      </w:tr>
    </w:tbl>
    <w:p w:rsidR="00926888" w:rsidRDefault="00926888"/>
    <w:p w:rsidR="00926888" w:rsidRDefault="00926888"/>
    <w:p w:rsidR="006279AF" w:rsidRPr="007C72C2" w:rsidRDefault="006279AF">
      <w:pPr>
        <w:rPr>
          <w:b/>
          <w:sz w:val="24"/>
          <w:u w:val="single"/>
        </w:rPr>
      </w:pPr>
      <w:r w:rsidRPr="007C72C2">
        <w:rPr>
          <w:b/>
          <w:sz w:val="24"/>
          <w:u w:val="single"/>
        </w:rPr>
        <w:t>What is the Pupil Premium?</w:t>
      </w:r>
      <w:r w:rsidR="000F716C">
        <w:rPr>
          <w:b/>
          <w:sz w:val="24"/>
          <w:u w:val="single"/>
        </w:rPr>
        <w:tab/>
      </w:r>
    </w:p>
    <w:p w:rsidR="006279AF" w:rsidRDefault="006279AF">
      <w:r>
        <w:t>The Pupil Premium funding was introduced in April 2011 for children:</w:t>
      </w:r>
    </w:p>
    <w:p w:rsidR="006279AF" w:rsidRDefault="006279AF" w:rsidP="006279AF">
      <w:pPr>
        <w:pStyle w:val="ListParagraph"/>
        <w:numPr>
          <w:ilvl w:val="0"/>
          <w:numId w:val="1"/>
        </w:numPr>
      </w:pPr>
      <w:r>
        <w:t>In receipt of Free School Meals</w:t>
      </w:r>
    </w:p>
    <w:p w:rsidR="006279AF" w:rsidRDefault="006279AF" w:rsidP="006279AF">
      <w:pPr>
        <w:pStyle w:val="ListParagraph"/>
        <w:numPr>
          <w:ilvl w:val="0"/>
          <w:numId w:val="1"/>
        </w:numPr>
      </w:pPr>
      <w:r>
        <w:t>That received a Free School Meal over the last six years</w:t>
      </w:r>
    </w:p>
    <w:p w:rsidR="0073236C" w:rsidRDefault="0073236C" w:rsidP="0073236C">
      <w:pPr>
        <w:pStyle w:val="ListParagraph"/>
        <w:numPr>
          <w:ilvl w:val="0"/>
          <w:numId w:val="1"/>
        </w:numPr>
      </w:pPr>
      <w:r>
        <w:t>In care</w:t>
      </w:r>
      <w:r w:rsidRPr="0073236C">
        <w:t xml:space="preserve"> </w:t>
      </w:r>
    </w:p>
    <w:p w:rsidR="006279AF" w:rsidRDefault="0073236C" w:rsidP="0073236C">
      <w:r>
        <w:t>In addition, pupils with a family member serving in the Armed Forces are funded separately.</w:t>
      </w:r>
    </w:p>
    <w:p w:rsidR="001D04CB" w:rsidRPr="006279AF" w:rsidRDefault="001D04CB" w:rsidP="001D04CB">
      <w:r>
        <w:t>The funding is intended to reduce attainment gaps and to support pupils to achieve at least as well as their peers.</w:t>
      </w:r>
    </w:p>
    <w:p w:rsidR="006C5B65" w:rsidRDefault="006C5B65"/>
    <w:p w:rsidR="006C5B65" w:rsidRPr="007C72C2" w:rsidRDefault="006C5B65">
      <w:pPr>
        <w:rPr>
          <w:b/>
          <w:sz w:val="24"/>
          <w:u w:val="single"/>
        </w:rPr>
      </w:pPr>
      <w:r w:rsidRPr="007C72C2">
        <w:rPr>
          <w:b/>
          <w:sz w:val="24"/>
          <w:u w:val="single"/>
        </w:rPr>
        <w:t xml:space="preserve">How </w:t>
      </w:r>
      <w:r w:rsidR="00D4451D">
        <w:rPr>
          <w:b/>
          <w:sz w:val="24"/>
          <w:u w:val="single"/>
        </w:rPr>
        <w:t>d</w:t>
      </w:r>
      <w:r w:rsidR="0073236C">
        <w:rPr>
          <w:b/>
          <w:sz w:val="24"/>
          <w:u w:val="single"/>
        </w:rPr>
        <w:t>id</w:t>
      </w:r>
      <w:r w:rsidR="00D4451D">
        <w:rPr>
          <w:b/>
          <w:sz w:val="24"/>
          <w:u w:val="single"/>
        </w:rPr>
        <w:t xml:space="preserve"> we </w:t>
      </w:r>
      <w:r w:rsidR="00272818">
        <w:rPr>
          <w:b/>
          <w:sz w:val="24"/>
          <w:u w:val="single"/>
        </w:rPr>
        <w:t>use</w:t>
      </w:r>
      <w:r w:rsidR="00D4451D">
        <w:rPr>
          <w:b/>
          <w:sz w:val="24"/>
          <w:u w:val="single"/>
        </w:rPr>
        <w:t xml:space="preserve"> our Pupil Premium Grant in 2015/16</w:t>
      </w:r>
      <w:r w:rsidRPr="007C72C2">
        <w:rPr>
          <w:b/>
          <w:sz w:val="24"/>
          <w:u w:val="single"/>
        </w:rPr>
        <w:t>?</w:t>
      </w:r>
    </w:p>
    <w:p w:rsidR="006C5B65" w:rsidRDefault="006C5B65">
      <w:r>
        <w:t xml:space="preserve">The school’s Pupil Premium funding supports </w:t>
      </w:r>
      <w:r w:rsidR="006279AF">
        <w:t xml:space="preserve">individual children and sustains school-wide initiatives and improvements in the quality of Teaching &amp; Learning.  </w:t>
      </w:r>
      <w:r w:rsidR="001D04CB">
        <w:t xml:space="preserve">The following gives examples of how we </w:t>
      </w:r>
      <w:r w:rsidR="0073236C">
        <w:t>used</w:t>
      </w:r>
      <w:r w:rsidR="001D04CB">
        <w:t xml:space="preserve"> the PPG to support initiatives and interventions.</w:t>
      </w:r>
    </w:p>
    <w:p w:rsidR="001D04CB" w:rsidRDefault="001D04CB"/>
    <w:p w:rsidR="00A95DBC" w:rsidRDefault="00FE5FC8" w:rsidP="00A95DBC">
      <w:pPr>
        <w:rPr>
          <w:b/>
          <w:i/>
        </w:rPr>
      </w:pPr>
      <w:r>
        <w:rPr>
          <w:b/>
          <w:i/>
        </w:rPr>
        <w:t xml:space="preserve">Staffing, </w:t>
      </w:r>
      <w:r w:rsidR="00D4451D">
        <w:rPr>
          <w:b/>
          <w:i/>
        </w:rPr>
        <w:t xml:space="preserve">Teaching &amp; Learning </w:t>
      </w:r>
    </w:p>
    <w:p w:rsidR="00D4451D" w:rsidRDefault="00D4451D" w:rsidP="00272818">
      <w:pPr>
        <w:pStyle w:val="ListParagraph"/>
        <w:numPr>
          <w:ilvl w:val="0"/>
          <w:numId w:val="9"/>
        </w:numPr>
        <w:rPr>
          <w:i/>
        </w:rPr>
      </w:pPr>
      <w:r>
        <w:rPr>
          <w:i/>
        </w:rPr>
        <w:t>Specific intervention for Online Maths learning afterschool, 1-3 children in a group</w:t>
      </w:r>
    </w:p>
    <w:p w:rsidR="007C72C2" w:rsidRPr="00272818" w:rsidRDefault="00A95DBC" w:rsidP="00272818">
      <w:pPr>
        <w:pStyle w:val="ListParagraph"/>
        <w:numPr>
          <w:ilvl w:val="0"/>
          <w:numId w:val="9"/>
        </w:numPr>
        <w:rPr>
          <w:i/>
        </w:rPr>
      </w:pPr>
      <w:r w:rsidRPr="00272818">
        <w:rPr>
          <w:i/>
        </w:rPr>
        <w:t>Sta</w:t>
      </w:r>
      <w:r w:rsidR="009145B6" w:rsidRPr="00272818">
        <w:rPr>
          <w:i/>
        </w:rPr>
        <w:t>ffing</w:t>
      </w:r>
      <w:r w:rsidR="007C72C2" w:rsidRPr="00272818">
        <w:rPr>
          <w:i/>
        </w:rPr>
        <w:t xml:space="preserve"> After School</w:t>
      </w:r>
      <w:r w:rsidR="009145B6" w:rsidRPr="00272818">
        <w:rPr>
          <w:i/>
        </w:rPr>
        <w:t xml:space="preserve"> clubs, extending opportunities with specific focus on sign up by children receiving PPG</w:t>
      </w:r>
    </w:p>
    <w:p w:rsidR="007C72C2" w:rsidRDefault="007C72C2" w:rsidP="00BF0B9D">
      <w:pPr>
        <w:pStyle w:val="ListParagraph"/>
        <w:numPr>
          <w:ilvl w:val="0"/>
          <w:numId w:val="6"/>
        </w:numPr>
        <w:rPr>
          <w:i/>
        </w:rPr>
      </w:pPr>
      <w:r>
        <w:rPr>
          <w:i/>
        </w:rPr>
        <w:t>S</w:t>
      </w:r>
      <w:r w:rsidR="0073236C">
        <w:rPr>
          <w:i/>
        </w:rPr>
        <w:t>enior LSA support for children with</w:t>
      </w:r>
      <w:r>
        <w:rPr>
          <w:i/>
        </w:rPr>
        <w:t xml:space="preserve"> learning behaviours and catch up</w:t>
      </w:r>
    </w:p>
    <w:p w:rsidR="007C72C2" w:rsidRDefault="007C72C2" w:rsidP="00BF0B9D">
      <w:pPr>
        <w:pStyle w:val="ListParagraph"/>
        <w:numPr>
          <w:ilvl w:val="0"/>
          <w:numId w:val="6"/>
        </w:numPr>
        <w:rPr>
          <w:i/>
        </w:rPr>
      </w:pPr>
      <w:r>
        <w:rPr>
          <w:i/>
        </w:rPr>
        <w:t>Before school reading booster sessions</w:t>
      </w:r>
    </w:p>
    <w:p w:rsidR="007C72C2" w:rsidRDefault="007C72C2" w:rsidP="00BF0B9D">
      <w:pPr>
        <w:pStyle w:val="ListParagraph"/>
        <w:numPr>
          <w:ilvl w:val="0"/>
          <w:numId w:val="6"/>
        </w:numPr>
        <w:rPr>
          <w:i/>
        </w:rPr>
      </w:pPr>
      <w:r>
        <w:rPr>
          <w:i/>
        </w:rPr>
        <w:t>Speech and Language support in class and one-to-one assistance</w:t>
      </w:r>
    </w:p>
    <w:p w:rsidR="007C72C2" w:rsidRDefault="00BF0B9D" w:rsidP="00BF0B9D">
      <w:pPr>
        <w:pStyle w:val="ListParagraph"/>
        <w:numPr>
          <w:ilvl w:val="0"/>
          <w:numId w:val="6"/>
        </w:numPr>
        <w:rPr>
          <w:i/>
        </w:rPr>
      </w:pPr>
      <w:r>
        <w:rPr>
          <w:i/>
        </w:rPr>
        <w:t>Family Liaison work with pupils and their families: accessing other services</w:t>
      </w:r>
    </w:p>
    <w:p w:rsidR="00FE5FC8" w:rsidRDefault="00FE5FC8" w:rsidP="00BF0B9D">
      <w:pPr>
        <w:pStyle w:val="ListParagraph"/>
        <w:numPr>
          <w:ilvl w:val="0"/>
          <w:numId w:val="6"/>
        </w:numPr>
        <w:rPr>
          <w:i/>
        </w:rPr>
      </w:pPr>
      <w:r>
        <w:rPr>
          <w:i/>
        </w:rPr>
        <w:t>Targeted support from Senior leaders with families</w:t>
      </w:r>
      <w:r w:rsidR="00B835C4">
        <w:rPr>
          <w:i/>
        </w:rPr>
        <w:t xml:space="preserve"> </w:t>
      </w:r>
      <w:r w:rsidR="0073236C">
        <w:rPr>
          <w:i/>
        </w:rPr>
        <w:t>including School</w:t>
      </w:r>
      <w:r w:rsidR="00B835C4">
        <w:rPr>
          <w:i/>
        </w:rPr>
        <w:t xml:space="preserve"> Attendance support</w:t>
      </w:r>
    </w:p>
    <w:p w:rsidR="00E7747A" w:rsidRDefault="00A95DBC" w:rsidP="00BF0B9D">
      <w:pPr>
        <w:pStyle w:val="ListParagraph"/>
        <w:numPr>
          <w:ilvl w:val="0"/>
          <w:numId w:val="6"/>
        </w:numPr>
        <w:rPr>
          <w:i/>
        </w:rPr>
      </w:pPr>
      <w:r w:rsidRPr="00E7747A">
        <w:rPr>
          <w:i/>
        </w:rPr>
        <w:lastRenderedPageBreak/>
        <w:t>Addit</w:t>
      </w:r>
      <w:r w:rsidR="00E7747A">
        <w:rPr>
          <w:i/>
        </w:rPr>
        <w:t>ional teacher to support Year 6 in the 12 weeks before SATs, so that class teacher can spend more time with disadvantaged pupils</w:t>
      </w:r>
    </w:p>
    <w:p w:rsidR="000F716C" w:rsidRDefault="002C76CE" w:rsidP="00BF0B9D">
      <w:pPr>
        <w:pStyle w:val="ListParagraph"/>
        <w:numPr>
          <w:ilvl w:val="0"/>
          <w:numId w:val="6"/>
        </w:numPr>
        <w:rPr>
          <w:i/>
        </w:rPr>
      </w:pPr>
      <w:r w:rsidRPr="00E7747A">
        <w:rPr>
          <w:i/>
        </w:rPr>
        <w:t xml:space="preserve">HLTA </w:t>
      </w:r>
      <w:r w:rsidR="000F716C" w:rsidRPr="00E7747A">
        <w:rPr>
          <w:i/>
        </w:rPr>
        <w:t>Phonics support in Year 1</w:t>
      </w:r>
    </w:p>
    <w:p w:rsidR="00E7747A" w:rsidRPr="00E7747A" w:rsidRDefault="00E7747A" w:rsidP="00BF0B9D">
      <w:pPr>
        <w:pStyle w:val="ListParagraph"/>
        <w:numPr>
          <w:ilvl w:val="0"/>
          <w:numId w:val="6"/>
        </w:numPr>
        <w:rPr>
          <w:i/>
        </w:rPr>
      </w:pPr>
      <w:r>
        <w:rPr>
          <w:i/>
        </w:rPr>
        <w:t>Using a Keyworker scheme where all disadvantaged pupils have an adult as advocate and monitors/supports on small step targets</w:t>
      </w:r>
    </w:p>
    <w:p w:rsidR="001D04CB" w:rsidRDefault="00D4451D" w:rsidP="001D04CB">
      <w:pPr>
        <w:rPr>
          <w:b/>
          <w:i/>
        </w:rPr>
      </w:pPr>
      <w:r>
        <w:rPr>
          <w:b/>
          <w:i/>
        </w:rPr>
        <w:t xml:space="preserve">Social Welfare - </w:t>
      </w:r>
    </w:p>
    <w:p w:rsidR="00BF0B9D" w:rsidRDefault="00BF0B9D" w:rsidP="00BF0B9D">
      <w:pPr>
        <w:pStyle w:val="ListParagraph"/>
        <w:numPr>
          <w:ilvl w:val="0"/>
          <w:numId w:val="7"/>
        </w:numPr>
        <w:rPr>
          <w:i/>
        </w:rPr>
      </w:pPr>
      <w:r w:rsidRPr="00BF0B9D">
        <w:rPr>
          <w:i/>
        </w:rPr>
        <w:t>Attendance initiatives, such as Bus Fare support, staff mileage</w:t>
      </w:r>
    </w:p>
    <w:p w:rsidR="00BF0B9D" w:rsidRDefault="00BF0B9D" w:rsidP="00BF0B9D">
      <w:pPr>
        <w:pStyle w:val="ListParagraph"/>
        <w:numPr>
          <w:ilvl w:val="0"/>
          <w:numId w:val="7"/>
        </w:numPr>
        <w:rPr>
          <w:i/>
        </w:rPr>
      </w:pPr>
      <w:r>
        <w:rPr>
          <w:i/>
        </w:rPr>
        <w:t>Healthy food for snacks</w:t>
      </w:r>
    </w:p>
    <w:p w:rsidR="00BF0B9D" w:rsidRDefault="00BF0B9D" w:rsidP="00BF0B9D">
      <w:pPr>
        <w:pStyle w:val="ListParagraph"/>
        <w:numPr>
          <w:ilvl w:val="0"/>
          <w:numId w:val="7"/>
        </w:numPr>
        <w:rPr>
          <w:i/>
        </w:rPr>
      </w:pPr>
      <w:r>
        <w:rPr>
          <w:i/>
        </w:rPr>
        <w:t>Breakfast Club attendance to start the day well nutritionally and socially</w:t>
      </w:r>
    </w:p>
    <w:p w:rsidR="00BF0B9D" w:rsidRDefault="00BF0B9D" w:rsidP="00BF0B9D">
      <w:pPr>
        <w:pStyle w:val="ListParagraph"/>
        <w:numPr>
          <w:ilvl w:val="0"/>
          <w:numId w:val="7"/>
        </w:numPr>
        <w:rPr>
          <w:i/>
        </w:rPr>
      </w:pPr>
      <w:r>
        <w:rPr>
          <w:i/>
        </w:rPr>
        <w:t xml:space="preserve">Subsidised residential trip for Year 6 pupils </w:t>
      </w:r>
    </w:p>
    <w:p w:rsidR="00BF0B9D" w:rsidRDefault="00BF0B9D" w:rsidP="00BF0B9D">
      <w:pPr>
        <w:pStyle w:val="ListParagraph"/>
        <w:numPr>
          <w:ilvl w:val="0"/>
          <w:numId w:val="7"/>
        </w:numPr>
        <w:rPr>
          <w:i/>
        </w:rPr>
      </w:pPr>
      <w:r>
        <w:rPr>
          <w:i/>
        </w:rPr>
        <w:t>Support with purchase of school uniform</w:t>
      </w:r>
    </w:p>
    <w:p w:rsidR="00D4451D" w:rsidRPr="00BF0B9D" w:rsidRDefault="00D4451D" w:rsidP="00BF0B9D">
      <w:pPr>
        <w:pStyle w:val="ListParagraph"/>
        <w:numPr>
          <w:ilvl w:val="0"/>
          <w:numId w:val="7"/>
        </w:numPr>
        <w:rPr>
          <w:i/>
        </w:rPr>
      </w:pPr>
      <w:r>
        <w:rPr>
          <w:i/>
        </w:rPr>
        <w:t xml:space="preserve">Staffing of a friendship club running at lunchtimes </w:t>
      </w:r>
    </w:p>
    <w:p w:rsidR="001D04CB" w:rsidRPr="00BF0B9D" w:rsidRDefault="001D04CB" w:rsidP="001D04CB">
      <w:pPr>
        <w:rPr>
          <w:b/>
          <w:i/>
        </w:rPr>
      </w:pPr>
      <w:r w:rsidRPr="00BF0B9D">
        <w:rPr>
          <w:b/>
          <w:i/>
        </w:rPr>
        <w:t xml:space="preserve">Curriculum </w:t>
      </w:r>
      <w:r w:rsidR="00BF0B9D" w:rsidRPr="00BF0B9D">
        <w:rPr>
          <w:b/>
          <w:i/>
        </w:rPr>
        <w:t xml:space="preserve">and Pupil </w:t>
      </w:r>
      <w:r w:rsidRPr="00BF0B9D">
        <w:rPr>
          <w:b/>
          <w:i/>
        </w:rPr>
        <w:t xml:space="preserve">Development - </w:t>
      </w:r>
    </w:p>
    <w:p w:rsidR="00BF0B9D" w:rsidRDefault="00BF0B9D" w:rsidP="00BF0B9D">
      <w:pPr>
        <w:pStyle w:val="ListParagraph"/>
        <w:numPr>
          <w:ilvl w:val="0"/>
          <w:numId w:val="8"/>
        </w:numPr>
        <w:rPr>
          <w:i/>
        </w:rPr>
      </w:pPr>
      <w:r>
        <w:rPr>
          <w:i/>
        </w:rPr>
        <w:t>Contribution to Life Bus for 3 day visit on Healthy Lifestyles</w:t>
      </w:r>
    </w:p>
    <w:p w:rsidR="00BF0B9D" w:rsidRDefault="00BF0B9D" w:rsidP="00BF0B9D">
      <w:pPr>
        <w:pStyle w:val="ListParagraph"/>
        <w:numPr>
          <w:ilvl w:val="0"/>
          <w:numId w:val="8"/>
        </w:numPr>
        <w:rPr>
          <w:i/>
        </w:rPr>
      </w:pPr>
      <w:r>
        <w:rPr>
          <w:i/>
        </w:rPr>
        <w:t>Reading initiatives, ie new books</w:t>
      </w:r>
      <w:r w:rsidR="000F716C">
        <w:rPr>
          <w:i/>
        </w:rPr>
        <w:t>, specialised booster reading support in class</w:t>
      </w:r>
      <w:r>
        <w:rPr>
          <w:i/>
        </w:rPr>
        <w:t xml:space="preserve"> </w:t>
      </w:r>
    </w:p>
    <w:p w:rsidR="009145B6" w:rsidRDefault="009145B6" w:rsidP="00BF0B9D">
      <w:pPr>
        <w:pStyle w:val="ListParagraph"/>
        <w:numPr>
          <w:ilvl w:val="0"/>
          <w:numId w:val="8"/>
        </w:numPr>
        <w:rPr>
          <w:i/>
        </w:rPr>
      </w:pPr>
      <w:r>
        <w:rPr>
          <w:i/>
        </w:rPr>
        <w:t>One-to-one tuition with Year 6 children to prepare for SATs</w:t>
      </w:r>
    </w:p>
    <w:p w:rsidR="009145B6" w:rsidRDefault="009145B6" w:rsidP="009145B6">
      <w:pPr>
        <w:pStyle w:val="ListParagraph"/>
        <w:numPr>
          <w:ilvl w:val="0"/>
          <w:numId w:val="8"/>
        </w:numPr>
        <w:rPr>
          <w:i/>
        </w:rPr>
      </w:pPr>
      <w:r>
        <w:rPr>
          <w:i/>
        </w:rPr>
        <w:t>Annual fee for Essex Children’s University, research books on closing the gap</w:t>
      </w:r>
    </w:p>
    <w:p w:rsidR="009145B6" w:rsidRDefault="009145B6" w:rsidP="009145B6">
      <w:pPr>
        <w:pStyle w:val="ListParagraph"/>
        <w:numPr>
          <w:ilvl w:val="0"/>
          <w:numId w:val="8"/>
        </w:numPr>
        <w:rPr>
          <w:i/>
        </w:rPr>
      </w:pPr>
      <w:r>
        <w:rPr>
          <w:i/>
        </w:rPr>
        <w:t>PSHE interventions during lessons and at breakfast/lunchtime</w:t>
      </w:r>
    </w:p>
    <w:p w:rsidR="00A95DBC" w:rsidRDefault="00A95DBC" w:rsidP="009145B6">
      <w:pPr>
        <w:pStyle w:val="ListParagraph"/>
        <w:numPr>
          <w:ilvl w:val="0"/>
          <w:numId w:val="8"/>
        </w:numPr>
        <w:rPr>
          <w:i/>
        </w:rPr>
      </w:pPr>
      <w:r>
        <w:rPr>
          <w:i/>
        </w:rPr>
        <w:t>Class budgets to support small resources/books/equipment for pupil premium children</w:t>
      </w:r>
    </w:p>
    <w:p w:rsidR="00A95DBC" w:rsidRDefault="00A95DBC" w:rsidP="009145B6">
      <w:pPr>
        <w:pStyle w:val="ListParagraph"/>
        <w:numPr>
          <w:ilvl w:val="0"/>
          <w:numId w:val="8"/>
        </w:numPr>
        <w:rPr>
          <w:i/>
        </w:rPr>
      </w:pPr>
      <w:r>
        <w:rPr>
          <w:i/>
        </w:rPr>
        <w:t>MDA support with games and friendship building at lunchtime</w:t>
      </w:r>
    </w:p>
    <w:p w:rsidR="00D4451D" w:rsidRPr="009145B6" w:rsidRDefault="00D4451D" w:rsidP="009145B6">
      <w:pPr>
        <w:pStyle w:val="ListParagraph"/>
        <w:numPr>
          <w:ilvl w:val="0"/>
          <w:numId w:val="8"/>
        </w:numPr>
        <w:rPr>
          <w:i/>
        </w:rPr>
      </w:pPr>
      <w:r>
        <w:rPr>
          <w:i/>
        </w:rPr>
        <w:t>Update of Clicker7 Word processing support so that disadvantaged children and their parents can access learning activities at home</w:t>
      </w:r>
    </w:p>
    <w:p w:rsidR="001D04CB" w:rsidRDefault="001D04CB" w:rsidP="001D04CB">
      <w:pPr>
        <w:rPr>
          <w:i/>
        </w:rPr>
      </w:pPr>
    </w:p>
    <w:p w:rsidR="001D04CB" w:rsidRDefault="00187392">
      <w:r>
        <w:t>We have specific actions for disadvantaged children that teachers and support staff assist with, the allocation of salaries to PPG is as follows:</w:t>
      </w:r>
    </w:p>
    <w:p w:rsidR="00187392" w:rsidRDefault="00187392"/>
    <w:p w:rsidR="008D2E8F" w:rsidRDefault="008D2E8F">
      <w:r>
        <w:rPr>
          <w:noProof/>
          <w:lang w:eastAsia="en-GB"/>
        </w:rPr>
        <mc:AlternateContent>
          <mc:Choice Requires="wpg">
            <w:drawing>
              <wp:anchor distT="0" distB="0" distL="114300" distR="114300" simplePos="0" relativeHeight="251670528" behindDoc="0" locked="0" layoutInCell="1" allowOverlap="1">
                <wp:simplePos x="0" y="0"/>
                <wp:positionH relativeFrom="column">
                  <wp:posOffset>82550</wp:posOffset>
                </wp:positionH>
                <wp:positionV relativeFrom="paragraph">
                  <wp:posOffset>37465</wp:posOffset>
                </wp:positionV>
                <wp:extent cx="5918200" cy="3384550"/>
                <wp:effectExtent l="0" t="0" r="25400" b="25400"/>
                <wp:wrapNone/>
                <wp:docPr id="9" name="Group 9"/>
                <wp:cNvGraphicFramePr/>
                <a:graphic xmlns:a="http://schemas.openxmlformats.org/drawingml/2006/main">
                  <a:graphicData uri="http://schemas.microsoft.com/office/word/2010/wordprocessingGroup">
                    <wpg:wgp>
                      <wpg:cNvGrpSpPr/>
                      <wpg:grpSpPr>
                        <a:xfrm>
                          <a:off x="0" y="0"/>
                          <a:ext cx="5918200" cy="3384550"/>
                          <a:chOff x="0" y="0"/>
                          <a:chExt cx="5918200" cy="3384550"/>
                        </a:xfrm>
                      </wpg:grpSpPr>
                      <wps:wsp>
                        <wps:cNvPr id="1" name="Right Arrow Callout 1"/>
                        <wps:cNvSpPr/>
                        <wps:spPr>
                          <a:xfrm>
                            <a:off x="0" y="215900"/>
                            <a:ext cx="1244600" cy="125095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2E8F" w:rsidRDefault="008D2E8F" w:rsidP="00A806C8">
                              <w:pPr>
                                <w:jc w:val="center"/>
                              </w:pPr>
                              <w:r>
                                <w:t xml:space="preserve">40% of Speech and Language Staff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ight Arrow Callout 2"/>
                        <wps:cNvSpPr/>
                        <wps:spPr>
                          <a:xfrm>
                            <a:off x="1593850" y="196850"/>
                            <a:ext cx="1244600" cy="12700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2E8F" w:rsidRDefault="008D2E8F" w:rsidP="00A806C8">
                              <w:pPr>
                                <w:jc w:val="center"/>
                              </w:pPr>
                              <w:r>
                                <w:t xml:space="preserve">40% of Family Support Worker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ight Arrow Callout 3"/>
                        <wps:cNvSpPr/>
                        <wps:spPr>
                          <a:xfrm>
                            <a:off x="3149600" y="209550"/>
                            <a:ext cx="1282700" cy="12700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2E8F" w:rsidRDefault="008D2E8F" w:rsidP="00A806C8">
                              <w:pPr>
                                <w:jc w:val="center"/>
                              </w:pPr>
                              <w:r>
                                <w:t xml:space="preserve">10% of Deputy Head and SMT Maths Lead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Arrow Callout 5"/>
                        <wps:cNvSpPr/>
                        <wps:spPr>
                          <a:xfrm>
                            <a:off x="1555750" y="1784350"/>
                            <a:ext cx="1244600" cy="11938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2E8F" w:rsidRDefault="008D2E8F" w:rsidP="00722B30">
                              <w:pPr>
                                <w:jc w:val="center"/>
                              </w:pPr>
                              <w:r>
                                <w:t xml:space="preserve">Overtime payments for LSA on Practise Time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ight Arrow Callout 6"/>
                        <wps:cNvSpPr/>
                        <wps:spPr>
                          <a:xfrm>
                            <a:off x="3149600" y="1771650"/>
                            <a:ext cx="1244600" cy="11938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2E8F" w:rsidRDefault="008D2E8F" w:rsidP="00722B30">
                              <w:pPr>
                                <w:jc w:val="center"/>
                              </w:pPr>
                              <w:r>
                                <w:t xml:space="preserve">5% of Class Teachers and SENCo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4959350" y="0"/>
                            <a:ext cx="958850" cy="3384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2E8F" w:rsidRDefault="008D2E8F" w:rsidP="00722B30">
                              <w:pPr>
                                <w:jc w:val="center"/>
                                <w:rPr>
                                  <w:b/>
                                </w:rPr>
                              </w:pPr>
                              <w:r w:rsidRPr="00722B30">
                                <w:rPr>
                                  <w:b/>
                                </w:rPr>
                                <w:t xml:space="preserve">PPG </w:t>
                              </w:r>
                            </w:p>
                            <w:p w:rsidR="008D2E8F" w:rsidRDefault="008D2E8F" w:rsidP="00722B30">
                              <w:pPr>
                                <w:jc w:val="center"/>
                                <w:rPr>
                                  <w:b/>
                                </w:rPr>
                              </w:pPr>
                              <w:r>
                                <w:rPr>
                                  <w:b/>
                                </w:rPr>
                                <w:t>STAFF</w:t>
                              </w:r>
                            </w:p>
                            <w:p w:rsidR="008D2E8F" w:rsidRDefault="008D2E8F" w:rsidP="00722B30">
                              <w:pPr>
                                <w:jc w:val="center"/>
                                <w:rPr>
                                  <w:b/>
                                </w:rPr>
                              </w:pPr>
                              <w:r>
                                <w:rPr>
                                  <w:b/>
                                </w:rPr>
                                <w:t>COSTS</w:t>
                              </w:r>
                            </w:p>
                            <w:p w:rsidR="008D2E8F" w:rsidRPr="00722B30" w:rsidRDefault="008D2E8F" w:rsidP="00722B30">
                              <w:pPr>
                                <w:jc w:val="center"/>
                                <w:rPr>
                                  <w:b/>
                                </w:rPr>
                              </w:pPr>
                              <w:r>
                                <w:rPr>
                                  <w:b/>
                                </w:rPr>
                                <w:t>£85,084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 o:spid="_x0000_s1026" style="position:absolute;margin-left:6.5pt;margin-top:2.95pt;width:466pt;height:266.5pt;z-index:251670528" coordsize="59182,3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 o:spid="_x0000_s1027" type="#_x0000_t78" style="position:absolute;top:2159;width:12446;height:12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WpV7sA&#10;AADaAAAADwAAAGRycy9kb3ducmV2LnhtbERPvQrCMBDeBd8hnOCmqYIi1SgiCEJxsLq4Hc3ZFpNL&#10;aaLWtzeC4HR8fL+32nTWiCe1vnasYDJOQBAXTtdcKric96MFCB+QNRrHpOBNHjbrfm+FqXYvPtEz&#10;D6WIIexTVFCF0KRS+qIii37sGuLI3VxrMUTYllK3+Irh1shpksylxZpjQ4UN7Soq7vnDKnjssuxg&#10;ZkeeUH0z+np0mcydUsNBt12CCNSFv/jnPug4H76vfK9cf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DVqVe7AAAA2gAAAA8AAAAAAAAAAAAAAAAAmAIAAGRycy9kb3ducmV2Lnht&#10;bFBLBQYAAAAABAAEAPUAAACAAwAAAAA=&#10;" adj="14035,5427,16200,8114" fillcolor="#4f81bd [3204]" strokecolor="#243f60 [1604]" strokeweight="2pt">
                  <v:textbox>
                    <w:txbxContent>
                      <w:p w:rsidR="008D2E8F" w:rsidRDefault="008D2E8F" w:rsidP="00A806C8">
                        <w:pPr>
                          <w:jc w:val="center"/>
                        </w:pPr>
                        <w:r>
                          <w:t xml:space="preserve">40% of Speech and Language Staff </w:t>
                        </w:r>
                      </w:p>
                    </w:txbxContent>
                  </v:textbox>
                </v:shape>
                <v:shape id="Right Arrow Callout 2" o:spid="_x0000_s1028" type="#_x0000_t78" style="position:absolute;left:15938;top:1968;width:12446;height:12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LDsIA&#10;AADaAAAADwAAAGRycy9kb3ducmV2LnhtbESPQWsCMRSE7wX/Q3gFbzVbDyKrUWRB7EVRK3h9bJ6b&#10;ZTcva5Lq6q83hUKPw8x8w8yXvW3FjXyoHSv4HGUgiEuna64UnL7XH1MQISJrbB2TggcFWC4Gb3PM&#10;tbvzgW7HWIkE4ZCjAhNjl0sZSkMWw8h1xMm7OG8xJukrqT3eE9y2cpxlE2mx5rRgsKPCUNkcf6yC&#10;zXV6aNfNZu8n5+3TNL7YxWeh1PC9X81AROrjf/iv/aUVjOH3Sro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QsOwgAAANoAAAAPAAAAAAAAAAAAAAAAAJgCAABkcnMvZG93&#10;bnJldi54bWxQSwUGAAAAAAQABAD1AAAAhwMAAAAA&#10;" adj="14035,5508,16200,8154" fillcolor="#4f81bd [3204]" strokecolor="#243f60 [1604]" strokeweight="2pt">
                  <v:textbox>
                    <w:txbxContent>
                      <w:p w:rsidR="008D2E8F" w:rsidRDefault="008D2E8F" w:rsidP="00A806C8">
                        <w:pPr>
                          <w:jc w:val="center"/>
                        </w:pPr>
                        <w:r>
                          <w:t xml:space="preserve">40% of Family Support Worker </w:t>
                        </w:r>
                      </w:p>
                    </w:txbxContent>
                  </v:textbox>
                </v:shape>
                <v:shape id="Right Arrow Callout 3" o:spid="_x0000_s1029" type="#_x0000_t78" style="position:absolute;left:31496;top:2095;width:12827;height:12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kI8MA&#10;AADaAAAADwAAAGRycy9kb3ducmV2LnhtbESPQWvCQBSE74L/YXlCb7qphWKjqxTFtoeAVkvPj+wz&#10;G8y+jdk1xn/vCoLHYWa+YWaLzlaipcaXjhW8jhIQxLnTJRcK/vbr4QSED8gaK8ek4EoeFvN+b4ap&#10;dhf+pXYXChEh7FNUYEKoUyl9bsiiH7maOHoH11gMUTaF1A1eItxWcpwk79JiyXHBYE1LQ/lxd7YK&#10;9qfWHD/OX9k2WdnlabLJvlf/mVIvg+5zCiJQF57hR/tHK3iD+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MkI8MAAADaAAAADwAAAAAAAAAAAAAAAACYAgAAZHJzL2Rv&#10;d25yZXYueG1sUEsFBgAAAAAEAAQA9QAAAIgDAAAAAA==&#10;" adj="14035,,16253" fillcolor="#4f81bd [3204]" strokecolor="#243f60 [1604]" strokeweight="2pt">
                  <v:textbox>
                    <w:txbxContent>
                      <w:p w:rsidR="008D2E8F" w:rsidRDefault="008D2E8F" w:rsidP="00A806C8">
                        <w:pPr>
                          <w:jc w:val="center"/>
                        </w:pPr>
                        <w:r>
                          <w:t xml:space="preserve">10% of Deputy Head and SMT Maths Lead </w:t>
                        </w:r>
                      </w:p>
                    </w:txbxContent>
                  </v:textbox>
                </v:shape>
                <v:shape id="Right Arrow Callout 5" o:spid="_x0000_s1030" type="#_x0000_t78" style="position:absolute;left:15557;top:17843;width:12446;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hO8IA&#10;AADaAAAADwAAAGRycy9kb3ducmV2LnhtbESPT4vCMBTE78J+h/AWvGmqoEg1iroI/oetXry9bd62&#10;ZZuX0kSt394Iwh6HmfkNM5k1phQ3ql1hWUGvG4EgTq0uOFNwPq06IxDOI2ssLZOCBzmYTT9aE4y1&#10;vfM33RKfiQBhF6OC3PsqltKlORl0XVsRB+/X1gZ9kHUmdY33ADel7EfRUBosOCzkWNEyp/QvuRoF&#10;y+xQ7PabY0+W269owfqYXH5IqfZnMx+D8NT4//C7vdYKBvC6Em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uE7wgAAANoAAAAPAAAAAAAAAAAAAAAAAJgCAABkcnMvZG93&#10;bnJldi54bWxQSwUGAAAAAAQABAD1AAAAhwMAAAAA&#10;" adj="14035,,16420" fillcolor="#4f81bd [3204]" strokecolor="#243f60 [1604]" strokeweight="2pt">
                  <v:textbox>
                    <w:txbxContent>
                      <w:p w:rsidR="008D2E8F" w:rsidRDefault="008D2E8F" w:rsidP="00722B30">
                        <w:pPr>
                          <w:jc w:val="center"/>
                        </w:pPr>
                        <w:r>
                          <w:t xml:space="preserve">Overtime payments for LSA on Practise Time </w:t>
                        </w:r>
                      </w:p>
                    </w:txbxContent>
                  </v:textbox>
                </v:shape>
                <v:shape id="Right Arrow Callout 6" o:spid="_x0000_s1031" type="#_x0000_t78" style="position:absolute;left:31496;top:17716;width:12446;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TMIA&#10;AADaAAAADwAAAGRycy9kb3ducmV2LnhtbESPT4vCMBTE78J+h/AWvGmqB5HaKLsuC/4Hqxdvz+Zt&#10;W7Z5KU3U+u2NIHgcZuY3TDJrTSWu1LjSsoJBPwJBnFldcq7gePjtjUE4j6yxskwK7uRgNv3oJBhr&#10;e+M9XVOfiwBhF6OCwvs6ltJlBRl0fVsTB+/PNgZ9kE0udYO3ADeVHEbRSBosOSwUWNO8oOw/vRgF&#10;83xbrjfL3UBWq5/om/UuPZ1Jqe5n+zUB4an17/CrvdAKRvC8Em6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5H9MwgAAANoAAAAPAAAAAAAAAAAAAAAAAJgCAABkcnMvZG93&#10;bnJldi54bWxQSwUGAAAAAAQABAD1AAAAhwMAAAAA&#10;" adj="14035,,16420" fillcolor="#4f81bd [3204]" strokecolor="#243f60 [1604]" strokeweight="2pt">
                  <v:textbox>
                    <w:txbxContent>
                      <w:p w:rsidR="008D2E8F" w:rsidRDefault="008D2E8F" w:rsidP="00722B30">
                        <w:pPr>
                          <w:jc w:val="center"/>
                        </w:pPr>
                        <w:r>
                          <w:t xml:space="preserve">5% of Class Teachers and SENCo </w:t>
                        </w:r>
                      </w:p>
                    </w:txbxContent>
                  </v:textbox>
                </v:shape>
                <v:roundrect id="Rounded Rectangle 7" o:spid="_x0000_s1032" style="position:absolute;left:49593;width:9589;height:338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qQ1L0A&#10;AADaAAAADwAAAGRycy9kb3ducmV2LnhtbESPzQrCMBCE74LvEFbwIpqq4E81igj+XK0+wNKsbbHZ&#10;lCbV+vZGEDwOM/MNs962phRPql1hWcF4FIEgTq0uOFNwux6GCxDOI2ssLZOCNznYbrqdNcbavvhC&#10;z8RnIkDYxagg976KpXRpTgbdyFbEwbvb2qAPss6krvEV4KaUkyiaSYMFh4UcK9rnlD6SxihYNqd3&#10;Usj79Ip+0BzJLhPMtFL9XrtbgfDU+n/41z5rBXP4Xgk3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3qQ1L0AAADaAAAADwAAAAAAAAAAAAAAAACYAgAAZHJzL2Rvd25yZXYu&#10;eG1sUEsFBgAAAAAEAAQA9QAAAIIDAAAAAA==&#10;" fillcolor="#4f81bd [3204]" strokecolor="#243f60 [1604]" strokeweight="2pt">
                  <v:textbox>
                    <w:txbxContent>
                      <w:p w:rsidR="008D2E8F" w:rsidRDefault="008D2E8F" w:rsidP="00722B30">
                        <w:pPr>
                          <w:jc w:val="center"/>
                          <w:rPr>
                            <w:b/>
                          </w:rPr>
                        </w:pPr>
                        <w:r w:rsidRPr="00722B30">
                          <w:rPr>
                            <w:b/>
                          </w:rPr>
                          <w:t xml:space="preserve">PPG </w:t>
                        </w:r>
                      </w:p>
                      <w:p w:rsidR="008D2E8F" w:rsidRDefault="008D2E8F" w:rsidP="00722B30">
                        <w:pPr>
                          <w:jc w:val="center"/>
                          <w:rPr>
                            <w:b/>
                          </w:rPr>
                        </w:pPr>
                        <w:r>
                          <w:rPr>
                            <w:b/>
                          </w:rPr>
                          <w:t>STAFF</w:t>
                        </w:r>
                      </w:p>
                      <w:p w:rsidR="008D2E8F" w:rsidRDefault="008D2E8F" w:rsidP="00722B30">
                        <w:pPr>
                          <w:jc w:val="center"/>
                          <w:rPr>
                            <w:b/>
                          </w:rPr>
                        </w:pPr>
                        <w:r>
                          <w:rPr>
                            <w:b/>
                          </w:rPr>
                          <w:t>COSTS</w:t>
                        </w:r>
                      </w:p>
                      <w:p w:rsidR="008D2E8F" w:rsidRPr="00722B30" w:rsidRDefault="008D2E8F" w:rsidP="00722B30">
                        <w:pPr>
                          <w:jc w:val="center"/>
                          <w:rPr>
                            <w:b/>
                          </w:rPr>
                        </w:pPr>
                        <w:r>
                          <w:rPr>
                            <w:b/>
                          </w:rPr>
                          <w:t>£85,084</w:t>
                        </w:r>
                      </w:p>
                    </w:txbxContent>
                  </v:textbox>
                </v:roundrect>
              </v:group>
            </w:pict>
          </mc:Fallback>
        </mc:AlternateContent>
      </w:r>
      <w:r>
        <w:rPr>
          <w:noProof/>
          <w:lang w:eastAsia="en-GB"/>
        </w:rPr>
        <mc:AlternateContent>
          <mc:Choice Requires="wps">
            <w:drawing>
              <wp:anchor distT="0" distB="0" distL="114300" distR="114300" simplePos="0" relativeHeight="251660288" behindDoc="0" locked="0" layoutInCell="1" allowOverlap="1" wp14:anchorId="12EF690D" wp14:editId="059DCC2D">
                <wp:simplePos x="0" y="0"/>
                <wp:positionH relativeFrom="column">
                  <wp:posOffset>82550</wp:posOffset>
                </wp:positionH>
                <wp:positionV relativeFrom="paragraph">
                  <wp:posOffset>1824990</wp:posOffset>
                </wp:positionV>
                <wp:extent cx="1244600" cy="1193800"/>
                <wp:effectExtent l="0" t="0" r="12700" b="25400"/>
                <wp:wrapNone/>
                <wp:docPr id="4" name="Right Arrow Callout 4"/>
                <wp:cNvGraphicFramePr/>
                <a:graphic xmlns:a="http://schemas.openxmlformats.org/drawingml/2006/main">
                  <a:graphicData uri="http://schemas.microsoft.com/office/word/2010/wordprocessingShape">
                    <wps:wsp>
                      <wps:cNvSpPr/>
                      <wps:spPr>
                        <a:xfrm>
                          <a:off x="0" y="0"/>
                          <a:ext cx="1244600" cy="11938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2E8F" w:rsidRDefault="008D2E8F" w:rsidP="00722B30">
                            <w:pPr>
                              <w:jc w:val="center"/>
                            </w:pPr>
                            <w:r>
                              <w:t xml:space="preserve">20% of HLTA for Booster provision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4" o:spid="_x0000_s1033" type="#_x0000_t78" style="position:absolute;margin-left:6.5pt;margin-top:143.7pt;width:98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" adj="14035,,16420" fillcolor="#4f81bd [3204]" strokecolor="#243f60 [1604]" strokeweight="2pt">
                <v:textbox>
                  <w:txbxContent>
                    <w:p w:rsidR="008D2E8F" w:rsidRDefault="008D2E8F" w:rsidP="00722B30">
                      <w:pPr>
                        <w:jc w:val="center"/>
                      </w:pPr>
                      <w:r>
                        <w:t xml:space="preserve">20% of HLTA for Booster provision </w:t>
                      </w:r>
                    </w:p>
                  </w:txbxContent>
                </v:textbox>
              </v:shape>
            </w:pict>
          </mc:Fallback>
        </mc:AlternateContent>
      </w:r>
      <w:r>
        <w:br w:type="page"/>
      </w:r>
    </w:p>
    <w:p w:rsidR="008D2E8F" w:rsidRDefault="008D2E8F">
      <w:pPr>
        <w:rPr>
          <w:b/>
          <w:u w:val="single"/>
        </w:rPr>
      </w:pPr>
      <w:r w:rsidRPr="008D2E8F">
        <w:rPr>
          <w:b/>
          <w:u w:val="single"/>
        </w:rPr>
        <w:lastRenderedPageBreak/>
        <w:t>Pupil Premium Impact 2015/2016</w:t>
      </w:r>
    </w:p>
    <w:p w:rsidR="0075665E" w:rsidRDefault="00E21F7A">
      <w:r>
        <w:t xml:space="preserve">We monitor pupil progress and attainment before and after interventions, if there is limited impact then we choose another intervention for that child.  Class teachers write their own Action Plan based on end of year/end of Assessment Period data which they are accountable for through Pupil Progress meetings each Assessment Period.  Parents are informed of intervention work through the 12 weekly reporting system and through informal parent/teacher conversations. </w:t>
      </w:r>
    </w:p>
    <w:p w:rsidR="00E21F7A" w:rsidRPr="00E21F7A" w:rsidRDefault="00E21F7A">
      <w:r>
        <w:t>In cohorts where there is a progress or attainment disparity between disadvantaged and non-disadvantaged children, School Development Priority applies … children in receipt of pupil premium funding to close the gap with their more affluent peers by 5%.</w:t>
      </w:r>
      <w:bookmarkStart w:id="0" w:name="_GoBack"/>
      <w:bookmarkEnd w:id="0"/>
    </w:p>
    <w:p w:rsidR="0075665E" w:rsidRPr="008D2E8F" w:rsidRDefault="0075665E">
      <w:pPr>
        <w:rPr>
          <w:b/>
          <w:u w:val="single"/>
        </w:rPr>
      </w:pPr>
    </w:p>
    <w:p w:rsidR="008D2E8F" w:rsidRDefault="008D2E8F"/>
    <w:p w:rsidR="008D2E8F" w:rsidRDefault="008D2E8F"/>
    <w:p w:rsidR="008D2E8F" w:rsidRDefault="008D2E8F"/>
    <w:p w:rsidR="00187392" w:rsidRPr="00926888" w:rsidRDefault="00187392"/>
    <w:sectPr w:rsidR="00187392" w:rsidRPr="00926888" w:rsidSect="007C72C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ACF"/>
    <w:multiLevelType w:val="hybridMultilevel"/>
    <w:tmpl w:val="B55E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6621A"/>
    <w:multiLevelType w:val="hybridMultilevel"/>
    <w:tmpl w:val="8F9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CC094E"/>
    <w:multiLevelType w:val="hybridMultilevel"/>
    <w:tmpl w:val="1A70B6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7C08FD"/>
    <w:multiLevelType w:val="hybridMultilevel"/>
    <w:tmpl w:val="F1BE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7D00E4"/>
    <w:multiLevelType w:val="hybridMultilevel"/>
    <w:tmpl w:val="97FC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BA0F97"/>
    <w:multiLevelType w:val="hybridMultilevel"/>
    <w:tmpl w:val="9C40A8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706024"/>
    <w:multiLevelType w:val="hybridMultilevel"/>
    <w:tmpl w:val="0BFA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BA79D6"/>
    <w:multiLevelType w:val="hybridMultilevel"/>
    <w:tmpl w:val="CC0A4C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5A652F"/>
    <w:multiLevelType w:val="hybridMultilevel"/>
    <w:tmpl w:val="2D78B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88"/>
    <w:rsid w:val="000B035F"/>
    <w:rsid w:val="000D5AE4"/>
    <w:rsid w:val="000E344C"/>
    <w:rsid w:val="000F716C"/>
    <w:rsid w:val="00187392"/>
    <w:rsid w:val="001D04CB"/>
    <w:rsid w:val="001D3831"/>
    <w:rsid w:val="00224942"/>
    <w:rsid w:val="00255BFA"/>
    <w:rsid w:val="00272818"/>
    <w:rsid w:val="002822F7"/>
    <w:rsid w:val="002A5FDD"/>
    <w:rsid w:val="002C76CE"/>
    <w:rsid w:val="004B6C67"/>
    <w:rsid w:val="004E45A6"/>
    <w:rsid w:val="005D63F2"/>
    <w:rsid w:val="006279AF"/>
    <w:rsid w:val="00654D67"/>
    <w:rsid w:val="00695A93"/>
    <w:rsid w:val="006C5B65"/>
    <w:rsid w:val="00722B30"/>
    <w:rsid w:val="0073236C"/>
    <w:rsid w:val="0075665E"/>
    <w:rsid w:val="007C72C2"/>
    <w:rsid w:val="008D2E8F"/>
    <w:rsid w:val="009145B6"/>
    <w:rsid w:val="00926888"/>
    <w:rsid w:val="009318AF"/>
    <w:rsid w:val="009F3F1F"/>
    <w:rsid w:val="00A370D4"/>
    <w:rsid w:val="00A806C8"/>
    <w:rsid w:val="00A95DBC"/>
    <w:rsid w:val="00B835C4"/>
    <w:rsid w:val="00BF0B9D"/>
    <w:rsid w:val="00C72C66"/>
    <w:rsid w:val="00D4451D"/>
    <w:rsid w:val="00DC03DC"/>
    <w:rsid w:val="00DF1357"/>
    <w:rsid w:val="00E21F7A"/>
    <w:rsid w:val="00E6298A"/>
    <w:rsid w:val="00E7747A"/>
    <w:rsid w:val="00EF0E64"/>
    <w:rsid w:val="00FE5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92688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Paragraph">
    <w:name w:val="List Paragraph"/>
    <w:basedOn w:val="Normal"/>
    <w:uiPriority w:val="34"/>
    <w:qFormat/>
    <w:rsid w:val="006279AF"/>
    <w:pPr>
      <w:ind w:left="720"/>
      <w:contextualSpacing/>
    </w:pPr>
  </w:style>
  <w:style w:type="paragraph" w:styleId="BalloonText">
    <w:name w:val="Balloon Text"/>
    <w:basedOn w:val="Normal"/>
    <w:link w:val="BalloonTextChar"/>
    <w:uiPriority w:val="99"/>
    <w:semiHidden/>
    <w:unhideWhenUsed/>
    <w:rsid w:val="004E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92688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Paragraph">
    <w:name w:val="List Paragraph"/>
    <w:basedOn w:val="Normal"/>
    <w:uiPriority w:val="34"/>
    <w:qFormat/>
    <w:rsid w:val="006279AF"/>
    <w:pPr>
      <w:ind w:left="720"/>
      <w:contextualSpacing/>
    </w:pPr>
  </w:style>
  <w:style w:type="paragraph" w:styleId="BalloonText">
    <w:name w:val="Balloon Text"/>
    <w:basedOn w:val="Normal"/>
    <w:link w:val="BalloonTextChar"/>
    <w:uiPriority w:val="99"/>
    <w:semiHidden/>
    <w:unhideWhenUsed/>
    <w:rsid w:val="004E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FD2F9-34C2-4713-B135-29B012EC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Tina Bourne</cp:lastModifiedBy>
  <cp:revision>6</cp:revision>
  <cp:lastPrinted>2015-05-12T11:15:00Z</cp:lastPrinted>
  <dcterms:created xsi:type="dcterms:W3CDTF">2016-11-21T16:16:00Z</dcterms:created>
  <dcterms:modified xsi:type="dcterms:W3CDTF">2016-11-21T17:37:00Z</dcterms:modified>
</cp:coreProperties>
</file>